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60AE5" w14:textId="62C372B6" w:rsidR="00476C58" w:rsidRDefault="000879AD" w:rsidP="00476C58">
      <w:pPr>
        <w:rPr>
          <w:rFonts w:cs="Arial"/>
          <w:b/>
          <w:color w:val="000000"/>
          <w:sz w:val="22"/>
          <w:szCs w:val="22"/>
        </w:rPr>
      </w:pPr>
      <w:r w:rsidRPr="000879AD">
        <w:rPr>
          <w:rFonts w:cs="Arial"/>
          <w:b/>
          <w:color w:val="000000"/>
          <w:sz w:val="22"/>
          <w:szCs w:val="22"/>
        </w:rPr>
        <w:t>Predicting and Defining Steroid Resistance in Pediatric Nephrotic Syndrome using Plasma Metabolomics</w:t>
      </w:r>
    </w:p>
    <w:p w14:paraId="76966392" w14:textId="77777777" w:rsidR="00476C58" w:rsidRPr="00476C58" w:rsidRDefault="00476C58" w:rsidP="00476C58">
      <w:pPr>
        <w:rPr>
          <w:rFonts w:cs="Arial"/>
          <w:b/>
          <w:color w:val="000000"/>
          <w:sz w:val="22"/>
          <w:szCs w:val="22"/>
        </w:rPr>
      </w:pPr>
    </w:p>
    <w:p w14:paraId="0D7E0217" w14:textId="152D32A0" w:rsidR="00B6030D" w:rsidRPr="00476C58" w:rsidRDefault="00B6030D" w:rsidP="00476C58">
      <w:pPr>
        <w:rPr>
          <w:sz w:val="22"/>
          <w:szCs w:val="22"/>
        </w:rPr>
      </w:pPr>
      <w:r w:rsidRPr="00476C58">
        <w:rPr>
          <w:sz w:val="22"/>
          <w:szCs w:val="22"/>
        </w:rPr>
        <w:t>Meta</w:t>
      </w:r>
      <w:r w:rsidR="00500D6A" w:rsidRPr="00476C58">
        <w:rPr>
          <w:sz w:val="22"/>
          <w:szCs w:val="22"/>
        </w:rPr>
        <w:t>bolomics</w:t>
      </w:r>
      <w:r w:rsidRPr="00476C58">
        <w:rPr>
          <w:sz w:val="22"/>
          <w:szCs w:val="22"/>
        </w:rPr>
        <w:t xml:space="preserve"> Analysis:</w:t>
      </w:r>
      <w:r w:rsidRPr="00476C58">
        <w:rPr>
          <w:sz w:val="22"/>
          <w:szCs w:val="22"/>
        </w:rPr>
        <w:tab/>
      </w:r>
      <w:r w:rsidRPr="00476C58">
        <w:rPr>
          <w:sz w:val="22"/>
          <w:szCs w:val="22"/>
        </w:rPr>
        <w:tab/>
      </w:r>
      <w:r w:rsidR="001D7809">
        <w:rPr>
          <w:sz w:val="22"/>
          <w:szCs w:val="22"/>
        </w:rPr>
        <w:t>NIH E</w:t>
      </w:r>
      <w:r w:rsidRPr="00476C58">
        <w:rPr>
          <w:sz w:val="22"/>
          <w:szCs w:val="22"/>
        </w:rPr>
        <w:t>RCMRC</w:t>
      </w:r>
    </w:p>
    <w:p w14:paraId="1A95C943" w14:textId="56C3626E" w:rsidR="000879AD" w:rsidRDefault="00962EEC" w:rsidP="000879AD">
      <w:pPr>
        <w:ind w:left="3600" w:hanging="3600"/>
        <w:rPr>
          <w:sz w:val="22"/>
          <w:szCs w:val="22"/>
        </w:rPr>
      </w:pPr>
      <w:r>
        <w:rPr>
          <w:sz w:val="22"/>
          <w:szCs w:val="22"/>
        </w:rPr>
        <w:t>Nephrotic Syndrome</w:t>
      </w:r>
      <w:r w:rsidR="00B6030D" w:rsidRPr="00476C58">
        <w:rPr>
          <w:sz w:val="22"/>
          <w:szCs w:val="22"/>
        </w:rPr>
        <w:t>:</w:t>
      </w:r>
      <w:r w:rsidR="005E5F06" w:rsidRPr="00476C58">
        <w:rPr>
          <w:sz w:val="22"/>
          <w:szCs w:val="22"/>
        </w:rPr>
        <w:t xml:space="preserve"> </w:t>
      </w:r>
      <w:r w:rsidR="005E5F06" w:rsidRPr="00476C58">
        <w:rPr>
          <w:sz w:val="22"/>
          <w:szCs w:val="22"/>
        </w:rPr>
        <w:tab/>
        <w:t>William E. Smoyer and Shipra Agrawal</w:t>
      </w:r>
    </w:p>
    <w:p w14:paraId="3A33B162" w14:textId="6C28D1A5" w:rsidR="000879AD" w:rsidRDefault="000879AD" w:rsidP="000879AD">
      <w:pPr>
        <w:ind w:left="3600"/>
        <w:rPr>
          <w:sz w:val="22"/>
          <w:szCs w:val="22"/>
        </w:rPr>
      </w:pPr>
      <w:r w:rsidRPr="000879AD">
        <w:rPr>
          <w:sz w:val="22"/>
          <w:szCs w:val="22"/>
        </w:rPr>
        <w:t xml:space="preserve">Department of Pediatrics, The Ohio State University, </w:t>
      </w:r>
      <w:r>
        <w:rPr>
          <w:sz w:val="22"/>
          <w:szCs w:val="22"/>
        </w:rPr>
        <w:t xml:space="preserve">and </w:t>
      </w:r>
      <w:r w:rsidRPr="000879AD">
        <w:rPr>
          <w:sz w:val="22"/>
          <w:szCs w:val="22"/>
        </w:rPr>
        <w:t>Center for Clinical and Translational Research, Nationwide Children’s Hospital, Columbus, OH</w:t>
      </w:r>
    </w:p>
    <w:p w14:paraId="78F6BFB6" w14:textId="0A500BE9" w:rsidR="00785716" w:rsidRPr="00476C58" w:rsidRDefault="00785716" w:rsidP="000879AD">
      <w:pPr>
        <w:ind w:left="3600"/>
        <w:rPr>
          <w:sz w:val="22"/>
          <w:szCs w:val="22"/>
        </w:rPr>
      </w:pPr>
      <w:r w:rsidRPr="00476C58">
        <w:rPr>
          <w:sz w:val="22"/>
          <w:szCs w:val="22"/>
        </w:rPr>
        <w:t>Institutional Review Board</w:t>
      </w:r>
      <w:r w:rsidR="008F160B" w:rsidRPr="00476C58">
        <w:rPr>
          <w:sz w:val="22"/>
          <w:szCs w:val="22"/>
        </w:rPr>
        <w:t xml:space="preserve"> No.:</w:t>
      </w:r>
      <w:r w:rsidR="00351948">
        <w:rPr>
          <w:sz w:val="22"/>
          <w:szCs w:val="22"/>
        </w:rPr>
        <w:t xml:space="preserve"> </w:t>
      </w:r>
      <w:bookmarkStart w:id="0" w:name="_GoBack"/>
      <w:bookmarkEnd w:id="0"/>
      <w:r w:rsidR="00351948" w:rsidRPr="00AE73E6">
        <w:t>IRB07-00400, IRB12-00039 and IRB05-00544</w:t>
      </w:r>
    </w:p>
    <w:p w14:paraId="17E64BA9" w14:textId="78F15587" w:rsidR="00785716" w:rsidRPr="00476C58" w:rsidRDefault="00B6030D" w:rsidP="00476C58">
      <w:pPr>
        <w:pStyle w:val="NormalWeb"/>
        <w:shd w:val="clear" w:color="auto" w:fill="FFFFFF"/>
        <w:spacing w:before="200" w:after="120" w:line="240" w:lineRule="auto"/>
        <w:jc w:val="both"/>
        <w:rPr>
          <w:rFonts w:asciiTheme="minorHAnsi" w:hAnsiTheme="minorHAnsi"/>
          <w:sz w:val="22"/>
          <w:szCs w:val="22"/>
        </w:rPr>
      </w:pPr>
      <w:r w:rsidRPr="00476C58">
        <w:rPr>
          <w:rFonts w:asciiTheme="minorHAnsi" w:hAnsiTheme="minorHAnsi"/>
          <w:b/>
          <w:sz w:val="22"/>
          <w:szCs w:val="22"/>
        </w:rPr>
        <w:t>Abstract:</w:t>
      </w:r>
      <w:r w:rsidRPr="00476C58">
        <w:rPr>
          <w:rFonts w:asciiTheme="minorHAnsi" w:hAnsiTheme="minorHAnsi"/>
          <w:sz w:val="22"/>
          <w:szCs w:val="22"/>
        </w:rPr>
        <w:t xml:space="preserve"> </w:t>
      </w:r>
    </w:p>
    <w:p w14:paraId="44A5A68F" w14:textId="6EB28F46" w:rsidR="00CD2EA9" w:rsidRPr="00476C58" w:rsidRDefault="000879AD" w:rsidP="00476C58">
      <w:pPr>
        <w:pStyle w:val="ListParagraph"/>
        <w:spacing w:before="200"/>
        <w:ind w:left="0"/>
        <w:rPr>
          <w:sz w:val="22"/>
          <w:szCs w:val="22"/>
        </w:rPr>
      </w:pPr>
      <w:r w:rsidRPr="000879AD">
        <w:rPr>
          <w:bCs/>
          <w:sz w:val="22"/>
          <w:szCs w:val="22"/>
          <w:lang w:eastAsia="en-GB"/>
        </w:rPr>
        <w:t xml:space="preserve">Nephrotic syndrome (NS) is a very common kidney disease in children. Glucocorticoids (GC) are the primary therapy, but are ineffective in ~20% of children and ~50% of adult cases. Patients with steroid resistant NS (SRNS) fail to enter remission after prolonged oral GC treatment, and are at high risk for GC-induced side effects and progression to end-stage kidney disease. This study aimed to discover markers of steroid resistance that could be potentially used to predict SRNS at presentation, and develop an improved mechanistic definition of pediatric SRNS.  Plasma samples were collected from 30 steroid sensitive NS (SSNS) and 15 SRNS patients, and paired samples analyzed which were collected both at disease presentation, prior to any steroid therapy, and after ~7 weeks of daily GC treatment. Broad spectrum 1HNMR data were acquired, binned, and concentration fit. Multivariate analyses and hypothesis testing were used to determine the metabolites that best differentiated the four phenotypic groups. Treatment effects on metabolomics profiles were observed between paired Pre- and Post- treatment SSNS groups, and between Post SSNS and SRNS groups. Metabolites most perturbed by GC </w:t>
      </w:r>
      <w:r w:rsidR="00E5498B">
        <w:rPr>
          <w:bCs/>
          <w:sz w:val="22"/>
          <w:szCs w:val="22"/>
          <w:lang w:eastAsia="en-GB"/>
        </w:rPr>
        <w:t>treatment included lipoproteins</w:t>
      </w:r>
      <w:r w:rsidRPr="000879AD">
        <w:rPr>
          <w:bCs/>
          <w:sz w:val="22"/>
          <w:szCs w:val="22"/>
          <w:lang w:eastAsia="en-GB"/>
        </w:rPr>
        <w:t>, adipate, pyruvate, alanine, creatine, glucose, tyrosine, valine, and glutamine.   Logistic regression using a stepwise variable selection method was used on Pre- samples to model the odds at clinical presentation of SRNS. After controlling for age, the step-wise logistic regression model selected increased glutamine (OR= 1.01; 0.99-1.02 95% CI) as a marker of SRNS. A similar model with children age &gt;3 only, indicated that children with reduced levels of malonate (OR=0.94; 0.89-1.00 95% CI</w:t>
      </w:r>
      <w:r w:rsidR="00E5498B">
        <w:rPr>
          <w:bCs/>
          <w:sz w:val="22"/>
          <w:szCs w:val="22"/>
          <w:lang w:eastAsia="en-GB"/>
        </w:rPr>
        <w:t>) had increased odds of SRNS</w:t>
      </w:r>
      <w:r w:rsidRPr="000879AD">
        <w:rPr>
          <w:bCs/>
          <w:sz w:val="22"/>
          <w:szCs w:val="22"/>
          <w:lang w:eastAsia="en-GB"/>
        </w:rPr>
        <w:t xml:space="preserve">. Thus, </w:t>
      </w:r>
      <w:r w:rsidR="00E5498B" w:rsidRPr="000879AD">
        <w:rPr>
          <w:bCs/>
          <w:sz w:val="22"/>
          <w:szCs w:val="22"/>
          <w:lang w:eastAsia="en-GB"/>
        </w:rPr>
        <w:t>malonate concentration</w:t>
      </w:r>
      <w:r w:rsidRPr="000879AD">
        <w:rPr>
          <w:bCs/>
          <w:sz w:val="22"/>
          <w:szCs w:val="22"/>
          <w:lang w:eastAsia="en-GB"/>
        </w:rPr>
        <w:t xml:space="preserve"> may be a potential plasma biomarker for identifying SRNS at initial clinical presentation.</w:t>
      </w:r>
    </w:p>
    <w:p w14:paraId="3424976F" w14:textId="77777777" w:rsidR="00C85331" w:rsidRPr="00476C58" w:rsidRDefault="00C85331" w:rsidP="00476C58">
      <w:pPr>
        <w:spacing w:before="200"/>
        <w:rPr>
          <w:b/>
          <w:sz w:val="22"/>
          <w:szCs w:val="22"/>
        </w:rPr>
      </w:pPr>
      <w:r w:rsidRPr="00476C58">
        <w:rPr>
          <w:b/>
          <w:sz w:val="22"/>
          <w:szCs w:val="22"/>
        </w:rPr>
        <w:t>Sample Description</w:t>
      </w:r>
    </w:p>
    <w:p w14:paraId="769A4391" w14:textId="27CEB766" w:rsidR="005E5F06" w:rsidRPr="00476C58" w:rsidRDefault="000879AD" w:rsidP="00476C58">
      <w:pPr>
        <w:spacing w:before="200"/>
        <w:jc w:val="both"/>
        <w:rPr>
          <w:sz w:val="22"/>
          <w:szCs w:val="22"/>
        </w:rPr>
      </w:pPr>
      <w:r>
        <w:rPr>
          <w:bCs/>
          <w:sz w:val="22"/>
          <w:szCs w:val="22"/>
          <w:lang w:eastAsia="en-GB"/>
        </w:rPr>
        <w:t>Citrate p</w:t>
      </w:r>
      <w:r w:rsidRPr="000879AD">
        <w:rPr>
          <w:bCs/>
          <w:sz w:val="22"/>
          <w:szCs w:val="22"/>
          <w:lang w:eastAsia="en-GB"/>
        </w:rPr>
        <w:t>lasma samples were collected from 30 steroid sensitive NS (SSNS) and 15 SRNS patients, and paired samples analyzed which were collected both at disease presentation, prior to any steroid therapy, and after ~7 weeks of daily GC treatment.</w:t>
      </w:r>
    </w:p>
    <w:p w14:paraId="419E6851" w14:textId="235BC8A6" w:rsidR="00B6030D" w:rsidRPr="00476C58" w:rsidRDefault="00B6030D" w:rsidP="00476C58">
      <w:pPr>
        <w:spacing w:before="200"/>
        <w:jc w:val="both"/>
        <w:rPr>
          <w:sz w:val="22"/>
          <w:szCs w:val="22"/>
        </w:rPr>
      </w:pPr>
      <w:r w:rsidRPr="00476C58">
        <w:rPr>
          <w:sz w:val="22"/>
          <w:szCs w:val="22"/>
        </w:rPr>
        <w:t xml:space="preserve">The data required for the </w:t>
      </w:r>
      <w:r w:rsidR="005E5F06" w:rsidRPr="00476C58">
        <w:rPr>
          <w:sz w:val="22"/>
          <w:szCs w:val="22"/>
        </w:rPr>
        <w:t>NMR metabolomics</w:t>
      </w:r>
      <w:r w:rsidRPr="00476C58">
        <w:rPr>
          <w:sz w:val="22"/>
          <w:szCs w:val="22"/>
        </w:rPr>
        <w:t xml:space="preserve"> analysis can be found in the accompanying files and folders:</w:t>
      </w:r>
    </w:p>
    <w:p w14:paraId="5A4B2849" w14:textId="77777777" w:rsidR="00476C58" w:rsidRPr="00476C58" w:rsidRDefault="00476C58" w:rsidP="00476C58">
      <w:pPr>
        <w:spacing w:before="200"/>
        <w:jc w:val="both"/>
        <w:rPr>
          <w:sz w:val="22"/>
          <w:szCs w:val="22"/>
        </w:rPr>
      </w:pPr>
    </w:p>
    <w:p w14:paraId="7514C736" w14:textId="47F66CA0" w:rsidR="00B6030D" w:rsidRPr="00476C58" w:rsidRDefault="00B906A1" w:rsidP="00476C58">
      <w:pPr>
        <w:jc w:val="both"/>
        <w:rPr>
          <w:sz w:val="21"/>
          <w:szCs w:val="21"/>
        </w:rPr>
      </w:pPr>
      <w:r w:rsidRPr="00476C58">
        <w:rPr>
          <w:sz w:val="21"/>
          <w:szCs w:val="21"/>
        </w:rPr>
        <w:t>Procedures:</w:t>
      </w:r>
      <w:r w:rsidRPr="00476C58">
        <w:rPr>
          <w:sz w:val="21"/>
          <w:szCs w:val="21"/>
        </w:rPr>
        <w:tab/>
      </w:r>
      <w:r w:rsidRPr="00476C58">
        <w:rPr>
          <w:sz w:val="21"/>
          <w:szCs w:val="21"/>
        </w:rPr>
        <w:tab/>
        <w:t xml:space="preserve">1. </w:t>
      </w:r>
      <w:r w:rsidR="005E5F06" w:rsidRPr="00476C58">
        <w:rPr>
          <w:rFonts w:cs="Arial"/>
          <w:color w:val="000000"/>
          <w:sz w:val="21"/>
          <w:szCs w:val="21"/>
        </w:rPr>
        <w:t>Steroid Resistant Nephrotic Syndrome</w:t>
      </w:r>
      <w:r w:rsidR="001107B3" w:rsidRPr="00476C58">
        <w:rPr>
          <w:rFonts w:cs="Arial"/>
          <w:color w:val="000000"/>
          <w:sz w:val="21"/>
          <w:szCs w:val="21"/>
        </w:rPr>
        <w:t xml:space="preserve"> </w:t>
      </w:r>
      <w:r w:rsidR="00B6030D" w:rsidRPr="00476C58">
        <w:rPr>
          <w:sz w:val="21"/>
          <w:szCs w:val="21"/>
        </w:rPr>
        <w:t>Procedure</w:t>
      </w:r>
      <w:r w:rsidR="00880AEE" w:rsidRPr="00476C58">
        <w:rPr>
          <w:sz w:val="21"/>
          <w:szCs w:val="21"/>
        </w:rPr>
        <w:t>.docx</w:t>
      </w:r>
    </w:p>
    <w:p w14:paraId="392B5003" w14:textId="53B21CC7" w:rsidR="00B6030D" w:rsidRPr="00476C58" w:rsidRDefault="00B6030D" w:rsidP="00476C58">
      <w:pPr>
        <w:tabs>
          <w:tab w:val="left" w:pos="720"/>
          <w:tab w:val="left" w:pos="1440"/>
          <w:tab w:val="left" w:pos="2160"/>
          <w:tab w:val="left" w:pos="2880"/>
          <w:tab w:val="left" w:pos="3600"/>
          <w:tab w:val="left" w:pos="4320"/>
          <w:tab w:val="left" w:pos="5040"/>
          <w:tab w:val="left" w:pos="5760"/>
          <w:tab w:val="left" w:pos="6480"/>
          <w:tab w:val="left" w:pos="7680"/>
        </w:tabs>
        <w:jc w:val="both"/>
        <w:rPr>
          <w:sz w:val="21"/>
          <w:szCs w:val="21"/>
        </w:rPr>
      </w:pPr>
      <w:r w:rsidRPr="00476C58">
        <w:rPr>
          <w:sz w:val="21"/>
          <w:szCs w:val="21"/>
        </w:rPr>
        <w:t>Study Design Table:</w:t>
      </w:r>
      <w:r w:rsidRPr="00476C58">
        <w:rPr>
          <w:sz w:val="21"/>
          <w:szCs w:val="21"/>
        </w:rPr>
        <w:tab/>
        <w:t xml:space="preserve">2. </w:t>
      </w:r>
      <w:r w:rsidR="005E5F06" w:rsidRPr="00476C58">
        <w:rPr>
          <w:rFonts w:cs="Arial"/>
          <w:color w:val="000000"/>
          <w:sz w:val="21"/>
          <w:szCs w:val="21"/>
        </w:rPr>
        <w:t>Steroid Resistant Nephrotic Syndrome</w:t>
      </w:r>
      <w:r w:rsidR="00980C1E" w:rsidRPr="00476C58">
        <w:rPr>
          <w:sz w:val="21"/>
          <w:szCs w:val="21"/>
        </w:rPr>
        <w:t xml:space="preserve"> </w:t>
      </w:r>
      <w:r w:rsidR="004B5F43" w:rsidRPr="00476C58">
        <w:rPr>
          <w:sz w:val="21"/>
          <w:szCs w:val="21"/>
        </w:rPr>
        <w:t xml:space="preserve">Study </w:t>
      </w:r>
      <w:r w:rsidR="00806239" w:rsidRPr="00476C58">
        <w:rPr>
          <w:sz w:val="21"/>
          <w:szCs w:val="21"/>
        </w:rPr>
        <w:t>Design Table</w:t>
      </w:r>
      <w:r w:rsidR="00880AEE" w:rsidRPr="00476C58">
        <w:rPr>
          <w:sz w:val="21"/>
          <w:szCs w:val="21"/>
        </w:rPr>
        <w:t>.xlsx</w:t>
      </w:r>
    </w:p>
    <w:p w14:paraId="4DA9646C" w14:textId="28EF9473" w:rsidR="00B6030D" w:rsidRPr="00476C58" w:rsidRDefault="00B6030D" w:rsidP="00476C58">
      <w:pPr>
        <w:tabs>
          <w:tab w:val="left" w:pos="720"/>
          <w:tab w:val="left" w:pos="1440"/>
          <w:tab w:val="left" w:pos="2160"/>
          <w:tab w:val="left" w:pos="2880"/>
          <w:tab w:val="left" w:pos="3600"/>
          <w:tab w:val="left" w:pos="4320"/>
          <w:tab w:val="left" w:pos="5040"/>
          <w:tab w:val="left" w:pos="5760"/>
          <w:tab w:val="left" w:pos="6480"/>
          <w:tab w:val="left" w:pos="7680"/>
        </w:tabs>
        <w:jc w:val="both"/>
        <w:rPr>
          <w:sz w:val="21"/>
          <w:szCs w:val="21"/>
        </w:rPr>
      </w:pPr>
      <w:r w:rsidRPr="00476C58">
        <w:rPr>
          <w:sz w:val="21"/>
          <w:szCs w:val="21"/>
        </w:rPr>
        <w:t>Metadata:</w:t>
      </w:r>
      <w:r w:rsidRPr="00476C58">
        <w:rPr>
          <w:sz w:val="21"/>
          <w:szCs w:val="21"/>
        </w:rPr>
        <w:tab/>
      </w:r>
      <w:r w:rsidRPr="00476C58">
        <w:rPr>
          <w:sz w:val="21"/>
          <w:szCs w:val="21"/>
        </w:rPr>
        <w:tab/>
        <w:t xml:space="preserve">3. </w:t>
      </w:r>
      <w:r w:rsidR="005E5F06" w:rsidRPr="00476C58">
        <w:rPr>
          <w:rFonts w:cs="Arial"/>
          <w:color w:val="000000"/>
          <w:sz w:val="21"/>
          <w:szCs w:val="21"/>
        </w:rPr>
        <w:t xml:space="preserve">Steroid Resistant Nephrotic Syndrome </w:t>
      </w:r>
      <w:r w:rsidR="00806239" w:rsidRPr="00476C58">
        <w:rPr>
          <w:sz w:val="21"/>
          <w:szCs w:val="21"/>
        </w:rPr>
        <w:t>METADATA</w:t>
      </w:r>
      <w:r w:rsidR="00880AEE" w:rsidRPr="00476C58">
        <w:rPr>
          <w:sz w:val="21"/>
          <w:szCs w:val="21"/>
        </w:rPr>
        <w:t>.xls</w:t>
      </w:r>
      <w:r w:rsidR="007929BB" w:rsidRPr="00476C58">
        <w:rPr>
          <w:sz w:val="21"/>
          <w:szCs w:val="21"/>
        </w:rPr>
        <w:t>x</w:t>
      </w:r>
    </w:p>
    <w:p w14:paraId="0688AA19" w14:textId="0A1AF6B0" w:rsidR="005E5F06" w:rsidRPr="00476C58" w:rsidRDefault="00B6030D" w:rsidP="00476C58">
      <w:pPr>
        <w:jc w:val="both"/>
        <w:rPr>
          <w:sz w:val="21"/>
          <w:szCs w:val="21"/>
        </w:rPr>
      </w:pPr>
      <w:r w:rsidRPr="00476C58">
        <w:rPr>
          <w:sz w:val="21"/>
          <w:szCs w:val="21"/>
        </w:rPr>
        <w:t>Processed Data:</w:t>
      </w:r>
      <w:r w:rsidR="00476C58" w:rsidRPr="00476C58">
        <w:rPr>
          <w:sz w:val="21"/>
          <w:szCs w:val="21"/>
        </w:rPr>
        <w:tab/>
      </w:r>
      <w:r w:rsidR="00476C58" w:rsidRPr="00476C58">
        <w:rPr>
          <w:sz w:val="21"/>
          <w:szCs w:val="21"/>
        </w:rPr>
        <w:tab/>
      </w:r>
      <w:r w:rsidRPr="00476C58">
        <w:rPr>
          <w:sz w:val="21"/>
          <w:szCs w:val="21"/>
        </w:rPr>
        <w:t>4</w:t>
      </w:r>
      <w:r w:rsidR="005E5F06" w:rsidRPr="00476C58">
        <w:rPr>
          <w:sz w:val="21"/>
          <w:szCs w:val="21"/>
        </w:rPr>
        <w:t>a</w:t>
      </w:r>
      <w:r w:rsidRPr="00476C58">
        <w:rPr>
          <w:sz w:val="21"/>
          <w:szCs w:val="21"/>
        </w:rPr>
        <w:t xml:space="preserve">. </w:t>
      </w:r>
      <w:r w:rsidR="005E5F06" w:rsidRPr="00476C58">
        <w:rPr>
          <w:rFonts w:cs="Arial"/>
          <w:color w:val="000000"/>
          <w:sz w:val="21"/>
          <w:szCs w:val="21"/>
        </w:rPr>
        <w:t>Steroid Resistant Nephrotic Syndrome</w:t>
      </w:r>
      <w:r w:rsidR="00980C1E" w:rsidRPr="00476C58">
        <w:rPr>
          <w:sz w:val="21"/>
          <w:szCs w:val="21"/>
        </w:rPr>
        <w:t xml:space="preserve"> </w:t>
      </w:r>
      <w:r w:rsidR="00476C58" w:rsidRPr="00476C58">
        <w:rPr>
          <w:sz w:val="21"/>
          <w:szCs w:val="21"/>
        </w:rPr>
        <w:t xml:space="preserve">Normalized </w:t>
      </w:r>
      <w:r w:rsidR="005E5F06" w:rsidRPr="00476C58">
        <w:rPr>
          <w:sz w:val="21"/>
          <w:szCs w:val="21"/>
        </w:rPr>
        <w:t xml:space="preserve">Binned </w:t>
      </w:r>
      <w:r w:rsidRPr="00476C58">
        <w:rPr>
          <w:sz w:val="21"/>
          <w:szCs w:val="21"/>
        </w:rPr>
        <w:t>Data</w:t>
      </w:r>
      <w:r w:rsidR="00880AEE" w:rsidRPr="00476C58">
        <w:rPr>
          <w:sz w:val="21"/>
          <w:szCs w:val="21"/>
        </w:rPr>
        <w:t>.xlsx</w:t>
      </w:r>
    </w:p>
    <w:p w14:paraId="767E5B32" w14:textId="0AC73CFB" w:rsidR="00751E5E" w:rsidRPr="00476C58" w:rsidRDefault="005E5F06" w:rsidP="00476C58">
      <w:pPr>
        <w:ind w:left="1440" w:firstLine="720"/>
        <w:jc w:val="both"/>
        <w:rPr>
          <w:sz w:val="21"/>
          <w:szCs w:val="21"/>
        </w:rPr>
      </w:pPr>
      <w:r w:rsidRPr="00476C58">
        <w:rPr>
          <w:sz w:val="21"/>
          <w:szCs w:val="21"/>
        </w:rPr>
        <w:t xml:space="preserve">4b. </w:t>
      </w:r>
      <w:r w:rsidRPr="00476C58">
        <w:rPr>
          <w:rFonts w:cs="Arial"/>
          <w:color w:val="000000"/>
          <w:sz w:val="21"/>
          <w:szCs w:val="21"/>
        </w:rPr>
        <w:t>Steroid Resistant Nephrotic Syndrome</w:t>
      </w:r>
      <w:r w:rsidRPr="00476C58">
        <w:rPr>
          <w:sz w:val="21"/>
          <w:szCs w:val="21"/>
        </w:rPr>
        <w:t xml:space="preserve"> Concentration Data.xlsx</w:t>
      </w:r>
    </w:p>
    <w:p w14:paraId="350F509A" w14:textId="105563BF" w:rsidR="00751E5E" w:rsidRPr="00476C58" w:rsidRDefault="00B6030D" w:rsidP="00476C58">
      <w:pPr>
        <w:rPr>
          <w:sz w:val="22"/>
          <w:szCs w:val="22"/>
        </w:rPr>
      </w:pPr>
      <w:r w:rsidRPr="00476C58">
        <w:rPr>
          <w:sz w:val="21"/>
          <w:szCs w:val="21"/>
        </w:rPr>
        <w:t>Raw Data</w:t>
      </w:r>
      <w:r w:rsidR="00D24731" w:rsidRPr="00476C58">
        <w:rPr>
          <w:sz w:val="21"/>
          <w:szCs w:val="21"/>
        </w:rPr>
        <w:t xml:space="preserve"> </w:t>
      </w:r>
      <w:r w:rsidRPr="00476C58">
        <w:rPr>
          <w:sz w:val="21"/>
          <w:szCs w:val="21"/>
        </w:rPr>
        <w:t>(folder)</w:t>
      </w:r>
      <w:r w:rsidR="00B906A1" w:rsidRPr="00476C58">
        <w:rPr>
          <w:sz w:val="21"/>
          <w:szCs w:val="21"/>
        </w:rPr>
        <w:t>:</w:t>
      </w:r>
      <w:r w:rsidR="00B906A1" w:rsidRPr="00476C58">
        <w:rPr>
          <w:sz w:val="21"/>
          <w:szCs w:val="21"/>
        </w:rPr>
        <w:tab/>
        <w:t>5.</w:t>
      </w:r>
      <w:r w:rsidR="00980C1E" w:rsidRPr="00476C58">
        <w:rPr>
          <w:rFonts w:cs="Arial"/>
          <w:color w:val="000000"/>
          <w:sz w:val="21"/>
          <w:szCs w:val="21"/>
        </w:rPr>
        <w:t xml:space="preserve"> </w:t>
      </w:r>
      <w:r w:rsidR="005E5F06" w:rsidRPr="00476C58">
        <w:rPr>
          <w:rFonts w:cs="Arial"/>
          <w:color w:val="000000"/>
          <w:sz w:val="21"/>
          <w:szCs w:val="21"/>
        </w:rPr>
        <w:t xml:space="preserve">Steroid Resistant Nephrotic Syndrome </w:t>
      </w:r>
      <w:r w:rsidR="00BA1F94" w:rsidRPr="00476C58">
        <w:rPr>
          <w:rFonts w:cs="Arial"/>
          <w:color w:val="000000"/>
          <w:sz w:val="21"/>
          <w:szCs w:val="21"/>
        </w:rPr>
        <w:t>Raw</w:t>
      </w:r>
      <w:r w:rsidR="00797EF7" w:rsidRPr="00476C58">
        <w:rPr>
          <w:rFonts w:cs="Arial"/>
          <w:color w:val="000000"/>
          <w:sz w:val="21"/>
          <w:szCs w:val="21"/>
        </w:rPr>
        <w:t xml:space="preserve"> </w:t>
      </w:r>
      <w:r w:rsidR="00BA1F94" w:rsidRPr="00476C58">
        <w:rPr>
          <w:rFonts w:cs="Arial"/>
          <w:color w:val="000000"/>
          <w:sz w:val="21"/>
          <w:szCs w:val="21"/>
        </w:rPr>
        <w:t>Data.</w:t>
      </w:r>
      <w:r w:rsidR="00146CB7" w:rsidRPr="00476C58">
        <w:rPr>
          <w:rFonts w:cs="Arial"/>
          <w:color w:val="000000"/>
          <w:sz w:val="21"/>
          <w:szCs w:val="21"/>
        </w:rPr>
        <w:t>zip</w:t>
      </w:r>
      <w:r w:rsidRPr="00476C58">
        <w:rPr>
          <w:sz w:val="21"/>
          <w:szCs w:val="21"/>
        </w:rPr>
        <w:tab/>
      </w:r>
      <w:r w:rsidRPr="00476C58">
        <w:rPr>
          <w:rFonts w:asciiTheme="majorHAnsi" w:hAnsiTheme="majorHAnsi"/>
          <w:sz w:val="22"/>
          <w:szCs w:val="22"/>
        </w:rPr>
        <w:tab/>
      </w:r>
      <w:r w:rsidRPr="00476C58">
        <w:rPr>
          <w:sz w:val="22"/>
          <w:szCs w:val="22"/>
        </w:rPr>
        <w:tab/>
      </w:r>
    </w:p>
    <w:p w14:paraId="63D57300" w14:textId="77777777" w:rsidR="00476C58" w:rsidRPr="00476C58" w:rsidRDefault="00476C58" w:rsidP="00476C58">
      <w:pPr>
        <w:spacing w:before="200"/>
        <w:jc w:val="both"/>
        <w:rPr>
          <w:b/>
          <w:bCs/>
          <w:sz w:val="22"/>
          <w:szCs w:val="22"/>
        </w:rPr>
      </w:pPr>
      <w:r w:rsidRPr="00476C58">
        <w:rPr>
          <w:b/>
          <w:bCs/>
          <w:sz w:val="22"/>
          <w:szCs w:val="22"/>
        </w:rPr>
        <w:t>Notes:</w:t>
      </w:r>
    </w:p>
    <w:p w14:paraId="4CF693AA" w14:textId="0EA9C196" w:rsidR="00476C58" w:rsidRPr="00476C58" w:rsidRDefault="00476C58" w:rsidP="00476C58">
      <w:pPr>
        <w:spacing w:before="200"/>
        <w:jc w:val="both"/>
        <w:rPr>
          <w:b/>
          <w:bCs/>
          <w:sz w:val="22"/>
          <w:szCs w:val="22"/>
        </w:rPr>
      </w:pPr>
      <w:r w:rsidRPr="00476C58">
        <w:rPr>
          <w:sz w:val="22"/>
          <w:szCs w:val="22"/>
        </w:rPr>
        <w:lastRenderedPageBreak/>
        <w:t xml:space="preserve">Each of the bin integrals were normalized to the total integral of each of the NMR spectrum (for more details, see accompanying Procedures file, </w:t>
      </w:r>
      <w:r w:rsidRPr="00476C58">
        <w:rPr>
          <w:b/>
          <w:bCs/>
          <w:sz w:val="22"/>
          <w:szCs w:val="22"/>
        </w:rPr>
        <w:t xml:space="preserve">1. </w:t>
      </w:r>
      <w:r w:rsidRPr="00476C58">
        <w:rPr>
          <w:rFonts w:eastAsia="Calibri" w:cs="Times New Roman"/>
          <w:b/>
          <w:sz w:val="22"/>
          <w:szCs w:val="22"/>
        </w:rPr>
        <w:t>Steroid Resistant Nephrotic Syndrome Metabolomics Procedure</w:t>
      </w:r>
      <w:r w:rsidRPr="00476C58">
        <w:rPr>
          <w:rFonts w:cs="Arial"/>
          <w:b/>
          <w:color w:val="000000"/>
          <w:sz w:val="22"/>
          <w:szCs w:val="22"/>
        </w:rPr>
        <w:t>.docx</w:t>
      </w:r>
    </w:p>
    <w:p w14:paraId="7F2C666F" w14:textId="77777777" w:rsidR="00476C58" w:rsidRPr="00476C58" w:rsidRDefault="00476C58" w:rsidP="00476C58">
      <w:pPr>
        <w:spacing w:before="200"/>
        <w:rPr>
          <w:b/>
          <w:sz w:val="22"/>
          <w:szCs w:val="22"/>
        </w:rPr>
      </w:pPr>
      <w:r w:rsidRPr="00476C58">
        <w:rPr>
          <w:sz w:val="22"/>
          <w:szCs w:val="22"/>
        </w:rPr>
        <w:t xml:space="preserve">Descriptions of abbreviations for factors are available in the Variable Dictionary in the accompanying Study Design Table files, organized by sub-study i.e. </w:t>
      </w:r>
      <w:r w:rsidRPr="00476C58">
        <w:rPr>
          <w:b/>
          <w:bCs/>
          <w:sz w:val="22"/>
          <w:szCs w:val="22"/>
        </w:rPr>
        <w:t xml:space="preserve">2. </w:t>
      </w:r>
      <w:r w:rsidRPr="00476C58">
        <w:rPr>
          <w:rFonts w:cs="Arial"/>
          <w:b/>
          <w:sz w:val="22"/>
          <w:szCs w:val="22"/>
        </w:rPr>
        <w:t>Steroid Resistant Nephrotic Syndrome Study Design Table</w:t>
      </w:r>
      <w:r w:rsidRPr="00476C58">
        <w:rPr>
          <w:b/>
          <w:bCs/>
          <w:sz w:val="22"/>
          <w:szCs w:val="22"/>
        </w:rPr>
        <w:t>.xlsx</w:t>
      </w:r>
      <w:r w:rsidRPr="00476C58">
        <w:rPr>
          <w:b/>
          <w:sz w:val="22"/>
          <w:szCs w:val="22"/>
        </w:rPr>
        <w:t xml:space="preserve">. </w:t>
      </w:r>
    </w:p>
    <w:p w14:paraId="66091CBD" w14:textId="1809668C" w:rsidR="00476C58" w:rsidRPr="00476C58" w:rsidRDefault="00476C58" w:rsidP="00476C58">
      <w:pPr>
        <w:spacing w:before="200"/>
        <w:rPr>
          <w:b/>
          <w:sz w:val="22"/>
          <w:szCs w:val="22"/>
        </w:rPr>
      </w:pPr>
      <w:r w:rsidRPr="00476C58">
        <w:rPr>
          <w:sz w:val="22"/>
          <w:szCs w:val="22"/>
        </w:rPr>
        <w:t>The normalized binned NMR data and concentrations of select metabolites are available in the accompanying Processed Data (i.e.</w:t>
      </w:r>
      <w:r w:rsidRPr="00476C58">
        <w:rPr>
          <w:b/>
          <w:bCs/>
          <w:sz w:val="22"/>
          <w:szCs w:val="22"/>
        </w:rPr>
        <w:t xml:space="preserve"> 4a. </w:t>
      </w:r>
      <w:r w:rsidRPr="00476C58">
        <w:rPr>
          <w:rFonts w:cs="Arial"/>
          <w:b/>
          <w:color w:val="000000"/>
          <w:sz w:val="22"/>
          <w:szCs w:val="22"/>
        </w:rPr>
        <w:t xml:space="preserve">Steroid Resistant Nephrotic Syndrome Normalized Binned Data.xlsx </w:t>
      </w:r>
      <w:r w:rsidRPr="00476C58">
        <w:rPr>
          <w:rFonts w:cs="Arial"/>
          <w:color w:val="000000"/>
          <w:sz w:val="22"/>
          <w:szCs w:val="22"/>
        </w:rPr>
        <w:t xml:space="preserve">and </w:t>
      </w:r>
      <w:r w:rsidRPr="00476C58">
        <w:rPr>
          <w:rFonts w:cs="Arial"/>
          <w:b/>
          <w:color w:val="000000"/>
          <w:sz w:val="22"/>
          <w:szCs w:val="22"/>
        </w:rPr>
        <w:t>4b. Steroid Resistant Nephrotic Syndrome Concentration Data.xlsx</w:t>
      </w:r>
      <w:r w:rsidRPr="00476C58">
        <w:rPr>
          <w:bCs/>
          <w:sz w:val="22"/>
          <w:szCs w:val="22"/>
        </w:rPr>
        <w:t>)</w:t>
      </w:r>
      <w:r w:rsidRPr="00476C58">
        <w:rPr>
          <w:sz w:val="22"/>
          <w:szCs w:val="22"/>
        </w:rPr>
        <w:t xml:space="preserve">. </w:t>
      </w:r>
    </w:p>
    <w:p w14:paraId="7FC626B6" w14:textId="0276D21A" w:rsidR="00476C58" w:rsidRPr="00476C58" w:rsidRDefault="00476C58" w:rsidP="00476C58">
      <w:pPr>
        <w:spacing w:before="200"/>
        <w:rPr>
          <w:sz w:val="22"/>
          <w:szCs w:val="22"/>
        </w:rPr>
      </w:pPr>
      <w:r w:rsidRPr="00476C58">
        <w:rPr>
          <w:sz w:val="22"/>
          <w:szCs w:val="22"/>
        </w:rPr>
        <w:t xml:space="preserve">Sample ID serves as the unique identifier of the individual samples and is used as the NMR folder name in the raw NMR data file.   </w:t>
      </w:r>
    </w:p>
    <w:sectPr w:rsidR="00476C58" w:rsidRPr="00476C58" w:rsidSect="00252B26">
      <w:pgSz w:w="12240" w:h="15840"/>
      <w:pgMar w:top="900" w:right="1800" w:bottom="108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CA669" w14:textId="77777777" w:rsidR="00B62ABC" w:rsidRDefault="00B62ABC" w:rsidP="0080575F">
      <w:r>
        <w:separator/>
      </w:r>
    </w:p>
  </w:endnote>
  <w:endnote w:type="continuationSeparator" w:id="0">
    <w:p w14:paraId="7498DA80" w14:textId="77777777" w:rsidR="00B62ABC" w:rsidRDefault="00B62ABC" w:rsidP="00805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CC78D" w14:textId="77777777" w:rsidR="00B62ABC" w:rsidRDefault="00B62ABC" w:rsidP="0080575F">
      <w:r>
        <w:separator/>
      </w:r>
    </w:p>
  </w:footnote>
  <w:footnote w:type="continuationSeparator" w:id="0">
    <w:p w14:paraId="713BC7AE" w14:textId="77777777" w:rsidR="00B62ABC" w:rsidRDefault="00B62ABC" w:rsidP="008057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916767"/>
    <w:multiLevelType w:val="hybridMultilevel"/>
    <w:tmpl w:val="412E0706"/>
    <w:lvl w:ilvl="0" w:tplc="D2E6624C">
      <w:start w:val="1"/>
      <w:numFmt w:val="bullet"/>
      <w:lvlText w:val=""/>
      <w:lvlJc w:val="left"/>
      <w:pPr>
        <w:tabs>
          <w:tab w:val="num" w:pos="720"/>
        </w:tabs>
        <w:ind w:left="720" w:hanging="360"/>
      </w:pPr>
      <w:rPr>
        <w:rFonts w:ascii="Wingdings" w:hAnsi="Wingdings" w:hint="default"/>
      </w:rPr>
    </w:lvl>
    <w:lvl w:ilvl="1" w:tplc="6BDE9DE8" w:tentative="1">
      <w:start w:val="1"/>
      <w:numFmt w:val="bullet"/>
      <w:lvlText w:val=""/>
      <w:lvlJc w:val="left"/>
      <w:pPr>
        <w:tabs>
          <w:tab w:val="num" w:pos="1440"/>
        </w:tabs>
        <w:ind w:left="1440" w:hanging="360"/>
      </w:pPr>
      <w:rPr>
        <w:rFonts w:ascii="Wingdings" w:hAnsi="Wingdings" w:hint="default"/>
      </w:rPr>
    </w:lvl>
    <w:lvl w:ilvl="2" w:tplc="59B4E188" w:tentative="1">
      <w:start w:val="1"/>
      <w:numFmt w:val="bullet"/>
      <w:lvlText w:val=""/>
      <w:lvlJc w:val="left"/>
      <w:pPr>
        <w:tabs>
          <w:tab w:val="num" w:pos="2160"/>
        </w:tabs>
        <w:ind w:left="2160" w:hanging="360"/>
      </w:pPr>
      <w:rPr>
        <w:rFonts w:ascii="Wingdings" w:hAnsi="Wingdings" w:hint="default"/>
      </w:rPr>
    </w:lvl>
    <w:lvl w:ilvl="3" w:tplc="B4362178" w:tentative="1">
      <w:start w:val="1"/>
      <w:numFmt w:val="bullet"/>
      <w:lvlText w:val=""/>
      <w:lvlJc w:val="left"/>
      <w:pPr>
        <w:tabs>
          <w:tab w:val="num" w:pos="2880"/>
        </w:tabs>
        <w:ind w:left="2880" w:hanging="360"/>
      </w:pPr>
      <w:rPr>
        <w:rFonts w:ascii="Wingdings" w:hAnsi="Wingdings" w:hint="default"/>
      </w:rPr>
    </w:lvl>
    <w:lvl w:ilvl="4" w:tplc="61103FEC" w:tentative="1">
      <w:start w:val="1"/>
      <w:numFmt w:val="bullet"/>
      <w:lvlText w:val=""/>
      <w:lvlJc w:val="left"/>
      <w:pPr>
        <w:tabs>
          <w:tab w:val="num" w:pos="3600"/>
        </w:tabs>
        <w:ind w:left="3600" w:hanging="360"/>
      </w:pPr>
      <w:rPr>
        <w:rFonts w:ascii="Wingdings" w:hAnsi="Wingdings" w:hint="default"/>
      </w:rPr>
    </w:lvl>
    <w:lvl w:ilvl="5" w:tplc="BE16D5B4" w:tentative="1">
      <w:start w:val="1"/>
      <w:numFmt w:val="bullet"/>
      <w:lvlText w:val=""/>
      <w:lvlJc w:val="left"/>
      <w:pPr>
        <w:tabs>
          <w:tab w:val="num" w:pos="4320"/>
        </w:tabs>
        <w:ind w:left="4320" w:hanging="360"/>
      </w:pPr>
      <w:rPr>
        <w:rFonts w:ascii="Wingdings" w:hAnsi="Wingdings" w:hint="default"/>
      </w:rPr>
    </w:lvl>
    <w:lvl w:ilvl="6" w:tplc="1032BA2A" w:tentative="1">
      <w:start w:val="1"/>
      <w:numFmt w:val="bullet"/>
      <w:lvlText w:val=""/>
      <w:lvlJc w:val="left"/>
      <w:pPr>
        <w:tabs>
          <w:tab w:val="num" w:pos="5040"/>
        </w:tabs>
        <w:ind w:left="5040" w:hanging="360"/>
      </w:pPr>
      <w:rPr>
        <w:rFonts w:ascii="Wingdings" w:hAnsi="Wingdings" w:hint="default"/>
      </w:rPr>
    </w:lvl>
    <w:lvl w:ilvl="7" w:tplc="58E6EB38" w:tentative="1">
      <w:start w:val="1"/>
      <w:numFmt w:val="bullet"/>
      <w:lvlText w:val=""/>
      <w:lvlJc w:val="left"/>
      <w:pPr>
        <w:tabs>
          <w:tab w:val="num" w:pos="5760"/>
        </w:tabs>
        <w:ind w:left="5760" w:hanging="360"/>
      </w:pPr>
      <w:rPr>
        <w:rFonts w:ascii="Wingdings" w:hAnsi="Wingdings" w:hint="default"/>
      </w:rPr>
    </w:lvl>
    <w:lvl w:ilvl="8" w:tplc="4CF6E6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98D74F9"/>
    <w:multiLevelType w:val="hybridMultilevel"/>
    <w:tmpl w:val="FFC035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E75C70"/>
    <w:multiLevelType w:val="hybridMultilevel"/>
    <w:tmpl w:val="E2768B24"/>
    <w:lvl w:ilvl="0" w:tplc="85A22540">
      <w:start w:val="1"/>
      <w:numFmt w:val="bullet"/>
      <w:lvlText w:val=""/>
      <w:lvlJc w:val="left"/>
      <w:pPr>
        <w:tabs>
          <w:tab w:val="num" w:pos="720"/>
        </w:tabs>
        <w:ind w:left="720" w:hanging="360"/>
      </w:pPr>
      <w:rPr>
        <w:rFonts w:ascii="Wingdings" w:hAnsi="Wingdings" w:hint="default"/>
      </w:rPr>
    </w:lvl>
    <w:lvl w:ilvl="1" w:tplc="6944EBC0" w:tentative="1">
      <w:start w:val="1"/>
      <w:numFmt w:val="bullet"/>
      <w:lvlText w:val=""/>
      <w:lvlJc w:val="left"/>
      <w:pPr>
        <w:tabs>
          <w:tab w:val="num" w:pos="1440"/>
        </w:tabs>
        <w:ind w:left="1440" w:hanging="360"/>
      </w:pPr>
      <w:rPr>
        <w:rFonts w:ascii="Wingdings" w:hAnsi="Wingdings" w:hint="default"/>
      </w:rPr>
    </w:lvl>
    <w:lvl w:ilvl="2" w:tplc="D2B05A4A" w:tentative="1">
      <w:start w:val="1"/>
      <w:numFmt w:val="bullet"/>
      <w:lvlText w:val=""/>
      <w:lvlJc w:val="left"/>
      <w:pPr>
        <w:tabs>
          <w:tab w:val="num" w:pos="2160"/>
        </w:tabs>
        <w:ind w:left="2160" w:hanging="360"/>
      </w:pPr>
      <w:rPr>
        <w:rFonts w:ascii="Wingdings" w:hAnsi="Wingdings" w:hint="default"/>
      </w:rPr>
    </w:lvl>
    <w:lvl w:ilvl="3" w:tplc="2AC89756" w:tentative="1">
      <w:start w:val="1"/>
      <w:numFmt w:val="bullet"/>
      <w:lvlText w:val=""/>
      <w:lvlJc w:val="left"/>
      <w:pPr>
        <w:tabs>
          <w:tab w:val="num" w:pos="2880"/>
        </w:tabs>
        <w:ind w:left="2880" w:hanging="360"/>
      </w:pPr>
      <w:rPr>
        <w:rFonts w:ascii="Wingdings" w:hAnsi="Wingdings" w:hint="default"/>
      </w:rPr>
    </w:lvl>
    <w:lvl w:ilvl="4" w:tplc="294CA1C0" w:tentative="1">
      <w:start w:val="1"/>
      <w:numFmt w:val="bullet"/>
      <w:lvlText w:val=""/>
      <w:lvlJc w:val="left"/>
      <w:pPr>
        <w:tabs>
          <w:tab w:val="num" w:pos="3600"/>
        </w:tabs>
        <w:ind w:left="3600" w:hanging="360"/>
      </w:pPr>
      <w:rPr>
        <w:rFonts w:ascii="Wingdings" w:hAnsi="Wingdings" w:hint="default"/>
      </w:rPr>
    </w:lvl>
    <w:lvl w:ilvl="5" w:tplc="AAF87A24" w:tentative="1">
      <w:start w:val="1"/>
      <w:numFmt w:val="bullet"/>
      <w:lvlText w:val=""/>
      <w:lvlJc w:val="left"/>
      <w:pPr>
        <w:tabs>
          <w:tab w:val="num" w:pos="4320"/>
        </w:tabs>
        <w:ind w:left="4320" w:hanging="360"/>
      </w:pPr>
      <w:rPr>
        <w:rFonts w:ascii="Wingdings" w:hAnsi="Wingdings" w:hint="default"/>
      </w:rPr>
    </w:lvl>
    <w:lvl w:ilvl="6" w:tplc="26AE2D90" w:tentative="1">
      <w:start w:val="1"/>
      <w:numFmt w:val="bullet"/>
      <w:lvlText w:val=""/>
      <w:lvlJc w:val="left"/>
      <w:pPr>
        <w:tabs>
          <w:tab w:val="num" w:pos="5040"/>
        </w:tabs>
        <w:ind w:left="5040" w:hanging="360"/>
      </w:pPr>
      <w:rPr>
        <w:rFonts w:ascii="Wingdings" w:hAnsi="Wingdings" w:hint="default"/>
      </w:rPr>
    </w:lvl>
    <w:lvl w:ilvl="7" w:tplc="695C56C0" w:tentative="1">
      <w:start w:val="1"/>
      <w:numFmt w:val="bullet"/>
      <w:lvlText w:val=""/>
      <w:lvlJc w:val="left"/>
      <w:pPr>
        <w:tabs>
          <w:tab w:val="num" w:pos="5760"/>
        </w:tabs>
        <w:ind w:left="5760" w:hanging="360"/>
      </w:pPr>
      <w:rPr>
        <w:rFonts w:ascii="Wingdings" w:hAnsi="Wingdings" w:hint="default"/>
      </w:rPr>
    </w:lvl>
    <w:lvl w:ilvl="8" w:tplc="61E2B40A"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950"/>
    <w:rsid w:val="00015BD6"/>
    <w:rsid w:val="000169DF"/>
    <w:rsid w:val="00022654"/>
    <w:rsid w:val="00060067"/>
    <w:rsid w:val="000723AD"/>
    <w:rsid w:val="00083A9A"/>
    <w:rsid w:val="000879AD"/>
    <w:rsid w:val="000B187B"/>
    <w:rsid w:val="000B5496"/>
    <w:rsid w:val="000C6AEC"/>
    <w:rsid w:val="000D400B"/>
    <w:rsid w:val="0011047F"/>
    <w:rsid w:val="001107B3"/>
    <w:rsid w:val="00127252"/>
    <w:rsid w:val="00135441"/>
    <w:rsid w:val="00146CB7"/>
    <w:rsid w:val="00150AAD"/>
    <w:rsid w:val="0015532F"/>
    <w:rsid w:val="00167A4D"/>
    <w:rsid w:val="00197E8B"/>
    <w:rsid w:val="001A0C4F"/>
    <w:rsid w:val="001B6A9F"/>
    <w:rsid w:val="001C44E5"/>
    <w:rsid w:val="001D7809"/>
    <w:rsid w:val="001F6A5C"/>
    <w:rsid w:val="002055CA"/>
    <w:rsid w:val="00207740"/>
    <w:rsid w:val="002136C6"/>
    <w:rsid w:val="002216B3"/>
    <w:rsid w:val="00252B26"/>
    <w:rsid w:val="002A5401"/>
    <w:rsid w:val="002C076D"/>
    <w:rsid w:val="002C3764"/>
    <w:rsid w:val="002F4E17"/>
    <w:rsid w:val="00303189"/>
    <w:rsid w:val="00313736"/>
    <w:rsid w:val="003236E7"/>
    <w:rsid w:val="003350BC"/>
    <w:rsid w:val="003427A9"/>
    <w:rsid w:val="00351948"/>
    <w:rsid w:val="00387B7D"/>
    <w:rsid w:val="003B1116"/>
    <w:rsid w:val="003D765F"/>
    <w:rsid w:val="003F0F01"/>
    <w:rsid w:val="00413996"/>
    <w:rsid w:val="0044070A"/>
    <w:rsid w:val="00451466"/>
    <w:rsid w:val="00476C58"/>
    <w:rsid w:val="0048578C"/>
    <w:rsid w:val="00493DD2"/>
    <w:rsid w:val="004A4298"/>
    <w:rsid w:val="004A4C42"/>
    <w:rsid w:val="004B00D1"/>
    <w:rsid w:val="004B4C23"/>
    <w:rsid w:val="004B5136"/>
    <w:rsid w:val="004B5F43"/>
    <w:rsid w:val="004C3216"/>
    <w:rsid w:val="00500D6A"/>
    <w:rsid w:val="005409C1"/>
    <w:rsid w:val="005431B8"/>
    <w:rsid w:val="00573803"/>
    <w:rsid w:val="00573C9C"/>
    <w:rsid w:val="005C7B90"/>
    <w:rsid w:val="005D40EF"/>
    <w:rsid w:val="005D5A58"/>
    <w:rsid w:val="005E5F06"/>
    <w:rsid w:val="005F5654"/>
    <w:rsid w:val="00612C7C"/>
    <w:rsid w:val="006326E1"/>
    <w:rsid w:val="0064534E"/>
    <w:rsid w:val="006511F8"/>
    <w:rsid w:val="00664BBD"/>
    <w:rsid w:val="00665C92"/>
    <w:rsid w:val="00666246"/>
    <w:rsid w:val="00690026"/>
    <w:rsid w:val="0069498F"/>
    <w:rsid w:val="00697370"/>
    <w:rsid w:val="006B761B"/>
    <w:rsid w:val="006F024B"/>
    <w:rsid w:val="00735B36"/>
    <w:rsid w:val="00751E5E"/>
    <w:rsid w:val="0075202C"/>
    <w:rsid w:val="007551B1"/>
    <w:rsid w:val="00760A57"/>
    <w:rsid w:val="007746C7"/>
    <w:rsid w:val="007750D4"/>
    <w:rsid w:val="00780ADF"/>
    <w:rsid w:val="00785716"/>
    <w:rsid w:val="007910F5"/>
    <w:rsid w:val="007929BB"/>
    <w:rsid w:val="00797EF7"/>
    <w:rsid w:val="007B467F"/>
    <w:rsid w:val="007C5E72"/>
    <w:rsid w:val="007D70A1"/>
    <w:rsid w:val="0080062C"/>
    <w:rsid w:val="0080575F"/>
    <w:rsid w:val="00806239"/>
    <w:rsid w:val="00812D17"/>
    <w:rsid w:val="008179F5"/>
    <w:rsid w:val="008250E5"/>
    <w:rsid w:val="00827B92"/>
    <w:rsid w:val="008325DD"/>
    <w:rsid w:val="00855950"/>
    <w:rsid w:val="00863886"/>
    <w:rsid w:val="008726E9"/>
    <w:rsid w:val="00880AEE"/>
    <w:rsid w:val="008F160B"/>
    <w:rsid w:val="008F380B"/>
    <w:rsid w:val="009045F9"/>
    <w:rsid w:val="009053C2"/>
    <w:rsid w:val="0091273A"/>
    <w:rsid w:val="00934CC1"/>
    <w:rsid w:val="00936CD4"/>
    <w:rsid w:val="00954F8E"/>
    <w:rsid w:val="00962EEC"/>
    <w:rsid w:val="009759C0"/>
    <w:rsid w:val="00980C1E"/>
    <w:rsid w:val="009B13FE"/>
    <w:rsid w:val="009B53F8"/>
    <w:rsid w:val="009D3D42"/>
    <w:rsid w:val="009D455D"/>
    <w:rsid w:val="009F3390"/>
    <w:rsid w:val="00A024BB"/>
    <w:rsid w:val="00A10C05"/>
    <w:rsid w:val="00A1203A"/>
    <w:rsid w:val="00A15129"/>
    <w:rsid w:val="00A205BD"/>
    <w:rsid w:val="00A227B2"/>
    <w:rsid w:val="00A25FEC"/>
    <w:rsid w:val="00A374C9"/>
    <w:rsid w:val="00A47649"/>
    <w:rsid w:val="00A56E30"/>
    <w:rsid w:val="00A67F7E"/>
    <w:rsid w:val="00A75C4E"/>
    <w:rsid w:val="00AE76C7"/>
    <w:rsid w:val="00AF16FE"/>
    <w:rsid w:val="00B142E1"/>
    <w:rsid w:val="00B5128B"/>
    <w:rsid w:val="00B6030D"/>
    <w:rsid w:val="00B62ABC"/>
    <w:rsid w:val="00B827E8"/>
    <w:rsid w:val="00B906A1"/>
    <w:rsid w:val="00B942B0"/>
    <w:rsid w:val="00B95D52"/>
    <w:rsid w:val="00B96070"/>
    <w:rsid w:val="00BA1F94"/>
    <w:rsid w:val="00BC0EA1"/>
    <w:rsid w:val="00BD19A3"/>
    <w:rsid w:val="00BD78D0"/>
    <w:rsid w:val="00BE7D61"/>
    <w:rsid w:val="00C17C5A"/>
    <w:rsid w:val="00C53A97"/>
    <w:rsid w:val="00C61005"/>
    <w:rsid w:val="00C85331"/>
    <w:rsid w:val="00C869EB"/>
    <w:rsid w:val="00C8714B"/>
    <w:rsid w:val="00C90FF1"/>
    <w:rsid w:val="00C94F7F"/>
    <w:rsid w:val="00CB1734"/>
    <w:rsid w:val="00CC6BA4"/>
    <w:rsid w:val="00CD2EA9"/>
    <w:rsid w:val="00D00E05"/>
    <w:rsid w:val="00D23DAC"/>
    <w:rsid w:val="00D24731"/>
    <w:rsid w:val="00D50932"/>
    <w:rsid w:val="00DA4A16"/>
    <w:rsid w:val="00DE658D"/>
    <w:rsid w:val="00E025D3"/>
    <w:rsid w:val="00E034FD"/>
    <w:rsid w:val="00E5498B"/>
    <w:rsid w:val="00E54A1C"/>
    <w:rsid w:val="00E727EE"/>
    <w:rsid w:val="00EA0DB7"/>
    <w:rsid w:val="00EC6C2C"/>
    <w:rsid w:val="00EC6E78"/>
    <w:rsid w:val="00EE453C"/>
    <w:rsid w:val="00EE72E7"/>
    <w:rsid w:val="00EE7DF1"/>
    <w:rsid w:val="00EF5659"/>
    <w:rsid w:val="00EF7834"/>
    <w:rsid w:val="00F04FDB"/>
    <w:rsid w:val="00F05463"/>
    <w:rsid w:val="00F17E95"/>
    <w:rsid w:val="00F25051"/>
    <w:rsid w:val="00F303EA"/>
    <w:rsid w:val="00F377BF"/>
    <w:rsid w:val="00F62262"/>
    <w:rsid w:val="00F641DB"/>
    <w:rsid w:val="00F9284B"/>
    <w:rsid w:val="00F93AA4"/>
    <w:rsid w:val="00FC0100"/>
    <w:rsid w:val="00FD65B2"/>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6E2DF5"/>
  <w15:docId w15:val="{C558AD70-F3D0-4407-8FE6-BF2D4E315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unhideWhenUsed/>
    <w:rsid w:val="00B6030D"/>
    <w:pPr>
      <w:spacing w:before="180" w:after="180" w:line="336" w:lineRule="atLeast"/>
    </w:pPr>
    <w:rPr>
      <w:rFonts w:ascii="Arial" w:eastAsia="Times New Roman" w:hAnsi="Arial" w:cs="Arial"/>
      <w:sz w:val="21"/>
      <w:szCs w:val="21"/>
    </w:rPr>
  </w:style>
  <w:style w:type="paragraph" w:styleId="Header">
    <w:name w:val="header"/>
    <w:basedOn w:val="Normal"/>
    <w:link w:val="HeaderChar"/>
    <w:uiPriority w:val="99"/>
    <w:unhideWhenUsed/>
    <w:rsid w:val="0080575F"/>
    <w:pPr>
      <w:tabs>
        <w:tab w:val="center" w:pos="4680"/>
        <w:tab w:val="right" w:pos="9360"/>
      </w:tabs>
    </w:pPr>
  </w:style>
  <w:style w:type="character" w:customStyle="1" w:styleId="HeaderChar">
    <w:name w:val="Header Char"/>
    <w:basedOn w:val="DefaultParagraphFont"/>
    <w:link w:val="Header"/>
    <w:uiPriority w:val="99"/>
    <w:rsid w:val="0080575F"/>
  </w:style>
  <w:style w:type="paragraph" w:styleId="Footer">
    <w:name w:val="footer"/>
    <w:basedOn w:val="Normal"/>
    <w:link w:val="FooterChar"/>
    <w:uiPriority w:val="99"/>
    <w:unhideWhenUsed/>
    <w:rsid w:val="0080575F"/>
    <w:pPr>
      <w:tabs>
        <w:tab w:val="center" w:pos="4680"/>
        <w:tab w:val="right" w:pos="9360"/>
      </w:tabs>
    </w:pPr>
  </w:style>
  <w:style w:type="character" w:customStyle="1" w:styleId="FooterChar">
    <w:name w:val="Footer Char"/>
    <w:basedOn w:val="DefaultParagraphFont"/>
    <w:link w:val="Footer"/>
    <w:uiPriority w:val="99"/>
    <w:rsid w:val="00805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82828299">
      <w:bodyDiv w:val="1"/>
      <w:marLeft w:val="0"/>
      <w:marRight w:val="0"/>
      <w:marTop w:val="0"/>
      <w:marBottom w:val="0"/>
      <w:divBdr>
        <w:top w:val="none" w:sz="0" w:space="0" w:color="auto"/>
        <w:left w:val="none" w:sz="0" w:space="0" w:color="auto"/>
        <w:bottom w:val="none" w:sz="0" w:space="0" w:color="auto"/>
        <w:right w:val="none" w:sz="0" w:space="0" w:color="auto"/>
      </w:divBdr>
    </w:div>
    <w:div w:id="616646456">
      <w:bodyDiv w:val="1"/>
      <w:marLeft w:val="0"/>
      <w:marRight w:val="0"/>
      <w:marTop w:val="0"/>
      <w:marBottom w:val="0"/>
      <w:divBdr>
        <w:top w:val="none" w:sz="0" w:space="0" w:color="auto"/>
        <w:left w:val="none" w:sz="0" w:space="0" w:color="auto"/>
        <w:bottom w:val="none" w:sz="0" w:space="0" w:color="auto"/>
        <w:right w:val="none" w:sz="0" w:space="0" w:color="auto"/>
      </w:divBdr>
    </w:div>
    <w:div w:id="709767200">
      <w:bodyDiv w:val="1"/>
      <w:marLeft w:val="0"/>
      <w:marRight w:val="0"/>
      <w:marTop w:val="0"/>
      <w:marBottom w:val="0"/>
      <w:divBdr>
        <w:top w:val="none" w:sz="0" w:space="0" w:color="auto"/>
        <w:left w:val="none" w:sz="0" w:space="0" w:color="auto"/>
        <w:bottom w:val="none" w:sz="0" w:space="0" w:color="auto"/>
        <w:right w:val="none" w:sz="0" w:space="0" w:color="auto"/>
      </w:divBdr>
      <w:divsChild>
        <w:div w:id="655032798">
          <w:marLeft w:val="547"/>
          <w:marRight w:val="0"/>
          <w:marTop w:val="96"/>
          <w:marBottom w:val="0"/>
          <w:divBdr>
            <w:top w:val="none" w:sz="0" w:space="0" w:color="auto"/>
            <w:left w:val="none" w:sz="0" w:space="0" w:color="auto"/>
            <w:bottom w:val="none" w:sz="0" w:space="0" w:color="auto"/>
            <w:right w:val="none" w:sz="0" w:space="0" w:color="auto"/>
          </w:divBdr>
        </w:div>
      </w:divsChild>
    </w:div>
    <w:div w:id="1320235485">
      <w:bodyDiv w:val="1"/>
      <w:marLeft w:val="0"/>
      <w:marRight w:val="0"/>
      <w:marTop w:val="0"/>
      <w:marBottom w:val="0"/>
      <w:divBdr>
        <w:top w:val="none" w:sz="0" w:space="0" w:color="auto"/>
        <w:left w:val="none" w:sz="0" w:space="0" w:color="auto"/>
        <w:bottom w:val="none" w:sz="0" w:space="0" w:color="auto"/>
        <w:right w:val="none" w:sz="0" w:space="0" w:color="auto"/>
      </w:divBdr>
      <w:divsChild>
        <w:div w:id="1544633814">
          <w:marLeft w:val="547"/>
          <w:marRight w:val="0"/>
          <w:marTop w:val="96"/>
          <w:marBottom w:val="0"/>
          <w:divBdr>
            <w:top w:val="none" w:sz="0" w:space="0" w:color="auto"/>
            <w:left w:val="none" w:sz="0" w:space="0" w:color="auto"/>
            <w:bottom w:val="none" w:sz="0" w:space="0" w:color="auto"/>
            <w:right w:val="none" w:sz="0" w:space="0" w:color="auto"/>
          </w:divBdr>
        </w:div>
      </w:divsChild>
    </w:div>
    <w:div w:id="1598906777">
      <w:bodyDiv w:val="1"/>
      <w:marLeft w:val="0"/>
      <w:marRight w:val="0"/>
      <w:marTop w:val="0"/>
      <w:marBottom w:val="0"/>
      <w:divBdr>
        <w:top w:val="none" w:sz="0" w:space="0" w:color="auto"/>
        <w:left w:val="none" w:sz="0" w:space="0" w:color="auto"/>
        <w:bottom w:val="none" w:sz="0" w:space="0" w:color="auto"/>
        <w:right w:val="none" w:sz="0" w:space="0" w:color="auto"/>
      </w:divBdr>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EDBED-66ED-411D-AE38-B3690124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590</Words>
  <Characters>3367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Burgess</dc:creator>
  <cp:lastModifiedBy>Gooding, Jessica</cp:lastModifiedBy>
  <cp:revision>5</cp:revision>
  <dcterms:created xsi:type="dcterms:W3CDTF">2018-02-28T20:22:00Z</dcterms:created>
  <dcterms:modified xsi:type="dcterms:W3CDTF">2018-02-28T20:44:00Z</dcterms:modified>
</cp:coreProperties>
</file>